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  <w:gridCol w:w="1609"/>
        <w:gridCol w:w="3491"/>
      </w:tblGrid>
      <w:tr w:rsidR="007F4A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РЕСПУБЛИКА  САХА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(ЯКУТИЯ) </w:t>
            </w:r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МУНИЦИПАЛЬНОГО  ОБРАЗОВАНИЯ</w:t>
            </w:r>
            <w:proofErr w:type="gramEnd"/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ПОСЕЛОК  ЛЕНИНСКИЙ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678944 РС (Я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),Алданский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район, п. Ленинский, ул. Ленина, 36,</w:t>
            </w:r>
          </w:p>
          <w:p w:rsidR="007F4A3F" w:rsidRDefault="004939A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тел: 52-3-55, факс 52-7-16</w:t>
            </w:r>
          </w:p>
          <w:p w:rsidR="007F4A3F" w:rsidRDefault="004939A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электронный адрес: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adm-leninskij@yandex.ru</w:t>
              </w:r>
            </w:hyperlink>
          </w:p>
          <w:p w:rsidR="007F4A3F" w:rsidRDefault="004939A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официальный сайт: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http://admleninskij.ucoz.net</w:t>
              </w:r>
            </w:hyperlink>
          </w:p>
          <w:p w:rsidR="007F4A3F" w:rsidRDefault="007F4A3F">
            <w:pPr>
              <w:spacing w:after="0" w:line="240" w:lineRule="auto"/>
              <w:ind w:firstLine="457"/>
            </w:pPr>
          </w:p>
        </w:tc>
        <w:tc>
          <w:tcPr>
            <w:tcW w:w="16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4A3F" w:rsidRDefault="00493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55" w:dyaOrig="1842">
                <v:rect id="rectole0000000000" o:spid="_x0000_i1025" style="width:63pt;height:92.25pt" o:ole="" o:preferrelative="t" stroked="f">
                  <v:imagedata r:id="rId7" o:title=""/>
                </v:rect>
                <o:OLEObject Type="Embed" ProgID="StaticMetafile" ShapeID="rectole0000000000" DrawAspect="Content" ObjectID="_1643613556" r:id="rId8"/>
              </w:object>
            </w:r>
          </w:p>
        </w:tc>
        <w:tc>
          <w:tcPr>
            <w:tcW w:w="3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4A3F" w:rsidRDefault="004939A2">
            <w:pPr>
              <w:keepNext/>
              <w:tabs>
                <w:tab w:val="left" w:pos="2718"/>
              </w:tabs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САХА РЕСПУБЛИКАТА</w:t>
            </w:r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АЛДАН  ОРОЙУОНУН</w:t>
            </w:r>
            <w:proofErr w:type="gramEnd"/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ЛЕНИНСКЭЙ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БОhУОЛЭК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МУНИЦИПАЛЬНАЙ  ТЭРИЛЛИИТИН</w:t>
            </w:r>
            <w:proofErr w:type="gramEnd"/>
          </w:p>
          <w:p w:rsidR="007F4A3F" w:rsidRDefault="004939A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АДМИНИСТРАЦИЯТА</w:t>
            </w:r>
          </w:p>
          <w:p w:rsidR="007F4A3F" w:rsidRDefault="007F4A3F">
            <w:pPr>
              <w:spacing w:after="0" w:line="240" w:lineRule="auto"/>
              <w:jc w:val="center"/>
            </w:pPr>
          </w:p>
        </w:tc>
      </w:tr>
    </w:tbl>
    <w:p w:rsidR="007F4A3F" w:rsidRDefault="007F4A3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4A3F" w:rsidRDefault="007F4A3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F4A3F" w:rsidRDefault="007F4A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</w:rPr>
      </w:pPr>
    </w:p>
    <w:p w:rsidR="007F4A3F" w:rsidRDefault="0049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F4A3F" w:rsidRDefault="007F4A3F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</w:p>
    <w:p w:rsidR="007F4A3F" w:rsidRDefault="007F4A3F">
      <w:pPr>
        <w:spacing w:after="200" w:line="360" w:lineRule="auto"/>
        <w:jc w:val="center"/>
        <w:rPr>
          <w:rFonts w:ascii="Calibri" w:eastAsia="Calibri" w:hAnsi="Calibri" w:cs="Calibri"/>
          <w:b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119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«25» декабря 2019 г.</w:t>
      </w:r>
    </w:p>
    <w:p w:rsidR="007F4A3F" w:rsidRDefault="004939A2">
      <w:p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О принятии Положения об оплате труда работников администрации МО «Поселок Ленинский» «Землеустроители», «Специалисты военно-учетного стола», «Технический персонал».</w:t>
      </w:r>
    </w:p>
    <w:p w:rsidR="007F4A3F" w:rsidRDefault="004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Указом Главы Республики Саха (Якутия) от 29 декабря 2018 года N 310 "О Кон</w:t>
      </w:r>
      <w:r>
        <w:rPr>
          <w:rFonts w:ascii="Times New Roman" w:eastAsia="Times New Roman" w:hAnsi="Times New Roman" w:cs="Times New Roman"/>
          <w:sz w:val="24"/>
        </w:rPr>
        <w:t>цепции совершенствования системы оплаты труда в учреждениях бюджетной сферы Республики Саха (Якутия) на 2019 - 2024 годы" и постановлением Правительства Республики Саха (Якутия) от 28 августа 2017 года N 290 "О Порядке формирования фонда оплаты труда работ</w:t>
      </w:r>
      <w:r>
        <w:rPr>
          <w:rFonts w:ascii="Times New Roman" w:eastAsia="Times New Roman" w:hAnsi="Times New Roman" w:cs="Times New Roman"/>
          <w:sz w:val="24"/>
        </w:rPr>
        <w:t>ников учреждений, финансируемых из государственного бюджета Республики Саха (Якутия)",</w:t>
      </w:r>
    </w:p>
    <w:p w:rsidR="007F4A3F" w:rsidRDefault="007F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7F4A3F" w:rsidRDefault="004939A2">
      <w:pPr>
        <w:numPr>
          <w:ilvl w:val="0"/>
          <w:numId w:val="1"/>
        </w:numPr>
        <w:tabs>
          <w:tab w:val="left" w:pos="1065"/>
        </w:tabs>
        <w:spacing w:before="100" w:after="100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Принять «Положение об оплате труда работников администрации МО «Поселок Ленинский» «Землеустроители», «Специалисты военно-учетного стола», «Технический пер</w:t>
      </w:r>
      <w:r>
        <w:rPr>
          <w:rFonts w:ascii="Times New Roman" w:eastAsia="Times New Roman" w:hAnsi="Times New Roman" w:cs="Times New Roman"/>
          <w:sz w:val="24"/>
        </w:rPr>
        <w:t>сонал» согласно приложению к настоящему постановлению.</w:t>
      </w:r>
    </w:p>
    <w:p w:rsidR="007F4A3F" w:rsidRDefault="004939A2">
      <w:pPr>
        <w:numPr>
          <w:ilvl w:val="0"/>
          <w:numId w:val="1"/>
        </w:numPr>
        <w:tabs>
          <w:tab w:val="left" w:pos="1065"/>
        </w:tabs>
        <w:spacing w:before="100" w:after="100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Уведомить работников об изменении условий оплаты труда в соответствии со статьей 74 Трудового кодекса Российской Федерации.</w:t>
      </w:r>
    </w:p>
    <w:p w:rsidR="007F4A3F" w:rsidRDefault="004939A2">
      <w:pPr>
        <w:numPr>
          <w:ilvl w:val="0"/>
          <w:numId w:val="1"/>
        </w:numPr>
        <w:tabs>
          <w:tab w:val="left" w:pos="1065"/>
        </w:tabs>
        <w:spacing w:before="100" w:after="100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постановление вступает в силу со дня обнародования и распространяет</w:t>
      </w:r>
      <w:r>
        <w:rPr>
          <w:rFonts w:ascii="Times New Roman" w:eastAsia="Times New Roman" w:hAnsi="Times New Roman" w:cs="Times New Roman"/>
          <w:sz w:val="24"/>
        </w:rPr>
        <w:t>ся на правоотношения, возникающие с 1 января 2020 года.</w:t>
      </w:r>
    </w:p>
    <w:p w:rsidR="007F4A3F" w:rsidRDefault="004939A2">
      <w:pPr>
        <w:numPr>
          <w:ilvl w:val="0"/>
          <w:numId w:val="1"/>
        </w:numPr>
        <w:tabs>
          <w:tab w:val="left" w:pos="1065"/>
        </w:tabs>
        <w:spacing w:before="100" w:after="100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Определить, что до истечения срока письменного уведомления работников об изменении условий трудового договора применяются условия оплаты труда работников, установленные до вступления в силу настоящего</w:t>
      </w:r>
      <w:r>
        <w:rPr>
          <w:rFonts w:ascii="Times New Roman" w:eastAsia="Times New Roman" w:hAnsi="Times New Roman" w:cs="Times New Roman"/>
          <w:sz w:val="24"/>
        </w:rPr>
        <w:t xml:space="preserve"> постановления.</w:t>
      </w:r>
    </w:p>
    <w:p w:rsidR="007F4A3F" w:rsidRDefault="004939A2">
      <w:pPr>
        <w:numPr>
          <w:ilvl w:val="0"/>
          <w:numId w:val="1"/>
        </w:numPr>
        <w:tabs>
          <w:tab w:val="left" w:pos="1065"/>
        </w:tabs>
        <w:spacing w:before="100" w:after="100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постановление подлежит размещению на официальном сайте МО «Посёлок Ленинский».</w:t>
      </w:r>
    </w:p>
    <w:p w:rsidR="007F4A3F" w:rsidRDefault="004939A2">
      <w:pPr>
        <w:numPr>
          <w:ilvl w:val="0"/>
          <w:numId w:val="1"/>
        </w:numPr>
        <w:tabs>
          <w:tab w:val="left" w:pos="1065"/>
        </w:tabs>
        <w:spacing w:before="100" w:after="100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по исполнению настоящего постановления возложить на заместителя главы администрации МО «Поселок Ленинский» Данченко В.А.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7F4A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4A3F" w:rsidRDefault="007F4A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МО «Поселок </w:t>
      </w:r>
      <w:r>
        <w:rPr>
          <w:rFonts w:ascii="Times New Roman" w:eastAsia="Times New Roman" w:hAnsi="Times New Roman" w:cs="Times New Roman"/>
          <w:sz w:val="24"/>
        </w:rPr>
        <w:t>Ленинский»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С.И.Гордиенко</w:t>
      </w:r>
      <w:proofErr w:type="spellEnd"/>
    </w:p>
    <w:p w:rsidR="007F4A3F" w:rsidRDefault="007F4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Главы администрации 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«Поселок Ленинский»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119 от «</w:t>
      </w:r>
      <w:proofErr w:type="gramStart"/>
      <w:r>
        <w:rPr>
          <w:rFonts w:ascii="Times New Roman" w:eastAsia="Times New Roman" w:hAnsi="Times New Roman" w:cs="Times New Roman"/>
          <w:sz w:val="24"/>
        </w:rPr>
        <w:t>25 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декабря 2019 г.</w:t>
      </w:r>
    </w:p>
    <w:p w:rsidR="007F4A3F" w:rsidRDefault="007F4A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4A3F" w:rsidRDefault="004939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7F4A3F" w:rsidRDefault="004939A2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Об оплате труда работников администрации МО «Поселок Ленинский» «Землеустроители», «Специалисты военно-учетного стола», «Технический персонал»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 Общие положения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об оплате труда работников администрации МО «Поселок Ленинский» (да</w:t>
      </w:r>
      <w:r>
        <w:rPr>
          <w:rFonts w:ascii="Times New Roman" w:eastAsia="Times New Roman" w:hAnsi="Times New Roman" w:cs="Times New Roman"/>
          <w:sz w:val="24"/>
        </w:rPr>
        <w:t>лее - Положение) разработано в соответствии с нормативными правовыми актами: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Федеральным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8 мая 2010 года N 83-ФЗ "О внесении изменений в отдельные з</w:t>
      </w:r>
      <w:r>
        <w:rPr>
          <w:rFonts w:ascii="Times New Roman" w:eastAsia="Times New Roman" w:hAnsi="Times New Roman" w:cs="Times New Roman"/>
          <w:sz w:val="24"/>
        </w:rPr>
        <w:t>аконодательные акты Российской Федерации в связи с совершенствованием правового положения государственных и муниципальных учреждений";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по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Республики Саха (Якутия) от 28 августа 2017 года N 290 "О Порядке формирования фонда оплаты труда работников учреждений, финансируемых из государственного бюджета Республики Саха (Якутия)";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Едиными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рекомендациями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</w:t>
      </w:r>
      <w:r>
        <w:rPr>
          <w:rFonts w:ascii="Times New Roman" w:eastAsia="Times New Roman" w:hAnsi="Times New Roman" w:cs="Times New Roman"/>
          <w:sz w:val="24"/>
        </w:rPr>
        <w:t>ных учреждений;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приказами Министерства здравоохранения и социального развития Российской Федерации: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 31 августа 2007 года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 570</w:t>
        </w:r>
      </w:hyperlink>
      <w:r>
        <w:rPr>
          <w:rFonts w:ascii="Times New Roman" w:eastAsia="Times New Roman" w:hAnsi="Times New Roman" w:cs="Times New Roman"/>
          <w:sz w:val="24"/>
        </w:rPr>
        <w:t xml:space="preserve"> "Об утверждении профессиональных квалификационных групп должностей работников культуры, искусства и кинематографии";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 14 марта 2008 года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 121н</w:t>
        </w:r>
      </w:hyperlink>
      <w:r>
        <w:rPr>
          <w:rFonts w:ascii="Times New Roman" w:eastAsia="Times New Roman" w:hAnsi="Times New Roman" w:cs="Times New Roman"/>
          <w:sz w:val="24"/>
        </w:rPr>
        <w:t xml:space="preserve"> "Об утверждении профессиональных квалификационных групп профессий рабочих культуры, искусства и кинематографии";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 29 мая 2008 года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 247н</w:t>
        </w:r>
      </w:hyperlink>
      <w:r>
        <w:rPr>
          <w:rFonts w:ascii="Times New Roman" w:eastAsia="Times New Roman" w:hAnsi="Times New Roman" w:cs="Times New Roman"/>
          <w:sz w:val="24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 29 мая 2008 года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 248н</w:t>
        </w:r>
      </w:hyperlink>
      <w:r>
        <w:rPr>
          <w:rFonts w:ascii="Times New Roman" w:eastAsia="Times New Roman" w:hAnsi="Times New Roman" w:cs="Times New Roman"/>
          <w:sz w:val="24"/>
        </w:rPr>
        <w:t xml:space="preserve"> "Об утверждении профессиональных квалификационных групп общеотраслевых профессий рабочих";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приказами Министерства труда и социального развития Республики Саха (Якутия):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 31 октября 2017 года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 1362-ОД</w:t>
        </w:r>
      </w:hyperlink>
      <w:r>
        <w:rPr>
          <w:rFonts w:ascii="Times New Roman" w:eastAsia="Times New Roman" w:hAnsi="Times New Roman" w:cs="Times New Roman"/>
          <w:sz w:val="24"/>
        </w:rPr>
        <w:t xml:space="preserve"> "Об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</w:t>
      </w:r>
      <w:r>
        <w:rPr>
          <w:rFonts w:ascii="Times New Roman" w:eastAsia="Times New Roman" w:hAnsi="Times New Roman" w:cs="Times New Roman"/>
          <w:sz w:val="24"/>
        </w:rPr>
        <w:t>х";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от 9 ноября 2017 года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 1424-ОД</w:t>
        </w:r>
      </w:hyperlink>
      <w:r>
        <w:rPr>
          <w:rFonts w:ascii="Times New Roman" w:eastAsia="Times New Roman" w:hAnsi="Times New Roman" w:cs="Times New Roman"/>
          <w:sz w:val="24"/>
        </w:rPr>
        <w:t xml:space="preserve"> "</w:t>
      </w:r>
      <w:r>
        <w:rPr>
          <w:rFonts w:ascii="Times New Roman" w:eastAsia="Times New Roman" w:hAnsi="Times New Roman" w:cs="Times New Roman"/>
          <w:sz w:val="24"/>
        </w:rPr>
        <w:t>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Calibri" w:eastAsia="Calibri" w:hAnsi="Calibri" w:cs="Calibri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>риказа Минимущества РС (Я) от 27.02.2019 N П-012-43 "Об утверждении методических рекомендаций об услов</w:t>
      </w:r>
      <w:r>
        <w:rPr>
          <w:rFonts w:ascii="Times New Roman" w:eastAsia="Times New Roman" w:hAnsi="Times New Roman" w:cs="Times New Roman"/>
          <w:sz w:val="24"/>
        </w:rPr>
        <w:t>иях оплаты труда работников в сфере управления имущественными и земельными ресурсами в муниципальных образованиях Республики Саха (Якутия)"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Настоящее Положение регулирует условия и порядок оплаты труда работников администрации муниципального образован</w:t>
      </w:r>
      <w:r>
        <w:rPr>
          <w:rFonts w:ascii="Times New Roman" w:eastAsia="Times New Roman" w:hAnsi="Times New Roman" w:cs="Times New Roman"/>
          <w:sz w:val="24"/>
        </w:rPr>
        <w:t xml:space="preserve">ия «Поселок Ленинский»: </w:t>
      </w: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землеустроители;</w:t>
      </w: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специалисты военно-учетного стола;</w:t>
      </w: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технический персонал.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Системы оплаты труда работников устанавливаются коллективными договорами, соглашениями, локальными нормативными актами в соответствии с законодате</w:t>
      </w:r>
      <w:r>
        <w:rPr>
          <w:rFonts w:ascii="Times New Roman" w:eastAsia="Times New Roman" w:hAnsi="Times New Roman" w:cs="Times New Roman"/>
          <w:sz w:val="24"/>
        </w:rPr>
        <w:t>льством Российской Федерации, Республики Саха (Якутия), настоящим Положением.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135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 кодекса Российской Федерации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Настоящее Положение включает в себя: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профессиональные квалификаци</w:t>
      </w:r>
      <w:r>
        <w:rPr>
          <w:rFonts w:ascii="Times New Roman" w:eastAsia="Times New Roman" w:hAnsi="Times New Roman" w:cs="Times New Roman"/>
          <w:sz w:val="24"/>
        </w:rPr>
        <w:t>онные группы (далее - ПКГ);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размеры окладов (должностных окладов);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размеры надбавок и критерии их установления;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наименование, условия осуществления и размеры выплат компенсационного и стимулирующего характера;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вопросы оплаты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Усло</w:t>
      </w:r>
      <w:r>
        <w:rPr>
          <w:rFonts w:ascii="Times New Roman" w:eastAsia="Times New Roman" w:hAnsi="Times New Roman" w:cs="Times New Roman"/>
          <w:sz w:val="24"/>
        </w:rPr>
        <w:t>вия оплаты труда, включая размер оклада (должностного оклада) работника, надбавки иные выплаты компенсационного и стимулирующего характера, являются обязательными для включения в трудовой договор.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Оплата труда работников, занятых по совместительству, </w:t>
      </w:r>
      <w:r>
        <w:rPr>
          <w:rFonts w:ascii="Times New Roman" w:eastAsia="Times New Roman" w:hAnsi="Times New Roman" w:cs="Times New Roman"/>
          <w:sz w:val="24"/>
        </w:rPr>
        <w:t>а также на условиях неполного рабочего времени или неполной рабочей недели, производится пропорционально отработанному времени либо на других условиях, определенных трудовым договором. Определение размеров заработной платы по основной должности, а также по</w:t>
      </w:r>
      <w:r>
        <w:rPr>
          <w:rFonts w:ascii="Times New Roman" w:eastAsia="Times New Roman" w:hAnsi="Times New Roman" w:cs="Times New Roman"/>
          <w:sz w:val="24"/>
        </w:rPr>
        <w:t xml:space="preserve"> должности, занимаемой в порядке совместительства, производится раздельно по каждой из должностей.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Заработная плата работников (без учета премии), устанавливаемая в соответствии с новой структурой фонда оплаты труда (без учета премий), не может быть м</w:t>
      </w:r>
      <w:r>
        <w:rPr>
          <w:rFonts w:ascii="Times New Roman" w:eastAsia="Times New Roman" w:hAnsi="Times New Roman" w:cs="Times New Roman"/>
          <w:sz w:val="24"/>
        </w:rPr>
        <w:t>еньше заработной платы, выплачиваемой до введения новой структуры фонда оплаты труда (без учета премий), при условии сохранения объема должностных обязанностей работников и выполнения ими работ той же квалификации.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1.8. Фонд оплаты труда работников Админис</w:t>
      </w:r>
      <w:r>
        <w:rPr>
          <w:rFonts w:ascii="Times New Roman" w:eastAsia="Times New Roman" w:hAnsi="Times New Roman" w:cs="Times New Roman"/>
          <w:sz w:val="24"/>
        </w:rPr>
        <w:t>трации формируется на календарный год исходя из объема лимитов бюджетных обязательств бюджета МО «Поселок Ленинский», предусмотренных на оплату труда работников.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Штатное расписание и тарификационный список утверждаются руководителем в пределах сформированн</w:t>
      </w:r>
      <w:r>
        <w:rPr>
          <w:rFonts w:ascii="Times New Roman" w:eastAsia="Times New Roman" w:hAnsi="Times New Roman" w:cs="Times New Roman"/>
          <w:sz w:val="24"/>
        </w:rPr>
        <w:t>ого на календарный год фонда оплаты труда и включают в себя все должности работников.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Размеры надбавок и выплат стимулирующего характера устанавливаются в пределах сформированного на календарный год фонда оплаты труда.</w:t>
      </w:r>
    </w:p>
    <w:p w:rsidR="007F4A3F" w:rsidRDefault="007F4A3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 Порядок и условия оплаты труда р</w:t>
      </w:r>
      <w:r>
        <w:rPr>
          <w:rFonts w:ascii="Arial" w:eastAsia="Arial" w:hAnsi="Arial" w:cs="Arial"/>
          <w:b/>
          <w:sz w:val="24"/>
        </w:rPr>
        <w:t>аботников администрации МО «Поселок Ленинский», занимающих общеотраслевые должности служащих «Землеустроителей» и «Специалистов ВУС»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Заработная плата работников администрации МО «Поселок Ленинский» - (</w:t>
      </w:r>
      <w:r>
        <w:rPr>
          <w:rFonts w:ascii="Times New Roman" w:eastAsia="Times New Roman" w:hAnsi="Times New Roman" w:cs="Times New Roman"/>
          <w:sz w:val="24"/>
        </w:rPr>
        <w:t>далее – работники) состоит из должностного оклада, выплат компенсационного и стимулирующего характера.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Оклады работников, занимающих общеотраслевые должности специалистов и служащих, устанавливаются на основе отнесения занимаемых ими должностей служащ</w:t>
      </w:r>
      <w:r>
        <w:rPr>
          <w:rFonts w:ascii="Times New Roman" w:eastAsia="Times New Roman" w:hAnsi="Times New Roman" w:cs="Times New Roman"/>
          <w:sz w:val="24"/>
        </w:rPr>
        <w:t xml:space="preserve">их к ПКГ в соответствии с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Министерства здравоохранения и социального развития Российской Федерации от 29 мая 2008 г. N 247н "Об утверждении профессиональ</w:t>
      </w:r>
      <w:r>
        <w:rPr>
          <w:rFonts w:ascii="Times New Roman" w:eastAsia="Times New Roman" w:hAnsi="Times New Roman" w:cs="Times New Roman"/>
          <w:sz w:val="24"/>
        </w:rPr>
        <w:t xml:space="preserve">ных квалификационных групп общеотраслевых должностей руководителей, специалистов и служащих",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Министерства труда и социального развития Республики Са</w:t>
      </w:r>
      <w:r>
        <w:rPr>
          <w:rFonts w:ascii="Times New Roman" w:eastAsia="Times New Roman" w:hAnsi="Times New Roman" w:cs="Times New Roman"/>
          <w:sz w:val="24"/>
        </w:rPr>
        <w:t>ха (Якутия) от 31 октября 2017 г. N 1362-ОД "Об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</w:t>
      </w:r>
      <w:r>
        <w:rPr>
          <w:rFonts w:ascii="Times New Roman" w:eastAsia="Times New Roman" w:hAnsi="Times New Roman" w:cs="Times New Roman"/>
          <w:sz w:val="24"/>
        </w:rPr>
        <w:t>х":</w:t>
      </w:r>
    </w:p>
    <w:p w:rsidR="007F4A3F" w:rsidRDefault="007F4A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3402"/>
        <w:gridCol w:w="2494"/>
      </w:tblGrid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Профессиональные квалификационные</w:t>
            </w:r>
          </w:p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Квалификационные уровни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оклада (должностного оклада)</w:t>
            </w:r>
          </w:p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рублях)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первого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4 757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4 785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4 865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4 944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5 343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5 582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5 981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третьего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6 061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6 300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6 779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7 177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7 975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четвертого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8 134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8 374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квалификационный уровень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8 533</w:t>
            </w:r>
          </w:p>
        </w:tc>
      </w:tr>
    </w:tbl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</w:rPr>
        <w:t xml:space="preserve">Должности работников в сфере управления имущественными и земельными ресурсами определяются в соответствии с квалификационным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справочником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"Квалификационный справ</w:t>
      </w:r>
      <w:r>
        <w:rPr>
          <w:rFonts w:ascii="Times New Roman" w:eastAsia="Times New Roman" w:hAnsi="Times New Roman" w:cs="Times New Roman"/>
          <w:sz w:val="24"/>
        </w:rPr>
        <w:t>очник должностей руководителей, специалистов и других служащих", утвержденным постановлением Минтруда России от 21.08.1998 N 37.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"Техник" рекомендуется приравнивать к 1 квалификационному уровню ПКГ "Общеотраслевые должности служащих второго уровн</w:t>
      </w:r>
      <w:r>
        <w:rPr>
          <w:rFonts w:ascii="Times New Roman" w:eastAsia="Times New Roman" w:hAnsi="Times New Roman" w:cs="Times New Roman"/>
          <w:sz w:val="24"/>
        </w:rPr>
        <w:t>я".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"Инженер" рекомендуется приравнивать к 1 квалификационному уровню ПКГ "Общеотраслевые должности служащих третьего уровня".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"Начальник отдела" рекомендуется приравнивать к 1 квалификационному уровню ПКГ "Общеотраслевые должности служ</w:t>
      </w:r>
      <w:r>
        <w:rPr>
          <w:rFonts w:ascii="Times New Roman" w:eastAsia="Times New Roman" w:hAnsi="Times New Roman" w:cs="Times New Roman"/>
          <w:sz w:val="24"/>
        </w:rPr>
        <w:t>ащих четвертого уровня".</w:t>
      </w:r>
    </w:p>
    <w:p w:rsidR="007F4A3F" w:rsidRDefault="007F4A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98"/>
        <w:gridCol w:w="2888"/>
      </w:tblGrid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уровень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оклада, руб.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4 865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третьего уровня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6 061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должности служащих четвертого уровня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8 134</w:t>
            </w:r>
          </w:p>
        </w:tc>
      </w:tr>
    </w:tbl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Рекомендуемые требования к квалификации работников в сфере управления имущественн</w:t>
      </w:r>
      <w:r>
        <w:rPr>
          <w:rFonts w:ascii="Times New Roman" w:eastAsia="Times New Roman" w:hAnsi="Times New Roman" w:cs="Times New Roman"/>
          <w:sz w:val="24"/>
        </w:rPr>
        <w:t>ыми и земельными ресурсами: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техник: среднее профессиональное (техническое) образование;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инженер: высшее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лет, либо других должностях, замещаемых специалистами со ср</w:t>
      </w:r>
      <w:r>
        <w:rPr>
          <w:rFonts w:ascii="Times New Roman" w:eastAsia="Times New Roman" w:hAnsi="Times New Roman" w:cs="Times New Roman"/>
          <w:sz w:val="24"/>
        </w:rPr>
        <w:t>едним профессиональным образованием, не менее 5 лет.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Рекомендуемые требования к специалистам, замещающим должности в соответствии с перечнем специальностей, приведены в приложении к настоящему положению.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Настоящим Положением работникам устанавливаются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ниже перечисленные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надбавки: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надбавка за наличие почетного звания, ведомственного (отраслевого) знака отличия;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надбавка за выслугу лет;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надбавка за интенсивность труда;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персональная доплата.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2.5.1. Надбавка за почетное звание, отраслевые (ведомств</w:t>
      </w:r>
      <w:r>
        <w:rPr>
          <w:rFonts w:ascii="Times New Roman" w:eastAsia="Times New Roman" w:hAnsi="Times New Roman" w:cs="Times New Roman"/>
          <w:sz w:val="24"/>
        </w:rPr>
        <w:t>енные) знаки отличия.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Надбавка за наличие почетного звания Российской Федерации, Республики Саха (Якутия), отраслевых (ведомственных) знаков отличия устанавливается в следующих размерах: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Отраслевой (ведомственный знак) - до 5%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Почетное звание - до 10%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Надбавка за наличие почетного звания, ведомственного знака отличия устанавливается в случае, если трудовая деятельность работника осуществляется по специальности, связанной с присвоением поче</w:t>
      </w:r>
      <w:r>
        <w:rPr>
          <w:rFonts w:ascii="Times New Roman" w:eastAsia="Times New Roman" w:hAnsi="Times New Roman" w:cs="Times New Roman"/>
          <w:sz w:val="24"/>
        </w:rPr>
        <w:t>тного звания, ведомственного знака отличия.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Надбавка за почетное звание, отраслевые (ведомственные) знаки отличия применяются по основной работе только по одному из оснований.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Надбавка за выслугу лет (непрерывный стаж работы по специальности):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</w:t>
      </w:r>
      <w:r>
        <w:rPr>
          <w:rFonts w:ascii="Times New Roman" w:eastAsia="Times New Roman" w:hAnsi="Times New Roman" w:cs="Times New Roman"/>
          <w:sz w:val="24"/>
        </w:rPr>
        <w:t>ок определения стажа, дающего право на установление надбавки за выслугу лет, конкретные условия осуществления данной выплаты утверждаются локальным нормативным актом Администрации. Выплаты производятся специалистам, для которых учреждение является основным</w:t>
      </w:r>
      <w:r>
        <w:rPr>
          <w:rFonts w:ascii="Times New Roman" w:eastAsia="Times New Roman" w:hAnsi="Times New Roman" w:cs="Times New Roman"/>
          <w:sz w:val="24"/>
        </w:rPr>
        <w:t xml:space="preserve"> местом работы, в размерах: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стаже работы от 2 до 5 лет - 15%;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стаже работы от 5 лет до 7 лет - 20%;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стаже работы от 7 лет до 10 лет - 25%;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стаже работы свыше 10 лет - 30%.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2.5.3. Работникам Администрации, может быть установлена надб</w:t>
      </w:r>
      <w:r>
        <w:rPr>
          <w:rFonts w:ascii="Times New Roman" w:eastAsia="Times New Roman" w:hAnsi="Times New Roman" w:cs="Times New Roman"/>
          <w:sz w:val="24"/>
        </w:rPr>
        <w:t>авка за интенсивность с целью стимулирования работников к своевременному и качественному результату труда, с учетом степени самостоятельности и ответственности при выполнении поставленных задач и других факторов. Решение об установлении надбавки за интенси</w:t>
      </w:r>
      <w:r>
        <w:rPr>
          <w:rFonts w:ascii="Times New Roman" w:eastAsia="Times New Roman" w:hAnsi="Times New Roman" w:cs="Times New Roman"/>
          <w:sz w:val="24"/>
        </w:rPr>
        <w:t>вность и его размере принимается главой Администрации персонально в отношении конкретного работника.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Распоряжение об установлении надбавки издается в начале календарного года с указанием конкретного размера надбавки и периода, на который она устанавливаетс</w:t>
      </w:r>
      <w:r>
        <w:rPr>
          <w:rFonts w:ascii="Times New Roman" w:eastAsia="Times New Roman" w:hAnsi="Times New Roman" w:cs="Times New Roman"/>
          <w:sz w:val="24"/>
        </w:rPr>
        <w:t>я. Ранее установленный размер надбавки может быть снижен или прекращена ее выплата до истечения срока.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Рекомендуемый размер надбавки к окладу за интенсивность труда - до 200%. При этом рекомендуется установить следующие критерии оценки работы для стимулиро</w:t>
      </w:r>
      <w:r>
        <w:rPr>
          <w:rFonts w:ascii="Times New Roman" w:eastAsia="Times New Roman" w:hAnsi="Times New Roman" w:cs="Times New Roman"/>
          <w:sz w:val="24"/>
        </w:rPr>
        <w:t>вания работников: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своевременное добросовестное исполнение должностных обязанностей и утвержденного плана работы - до 100%;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своевременное исполнение срочных поручений руководства по сфере деятельности - до 100%.</w:t>
      </w:r>
    </w:p>
    <w:p w:rsidR="007F4A3F" w:rsidRDefault="007F4A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2.5.4. Персональная доплата.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уровень оплаты труда работника в соответствии с новой структурой фонда оплаты труда (без учета премий), оказывается ниже уровня оплаты труда (без учета премий), выплачиваемой до введения новой структуры фонда оплаты труда, при условии </w:t>
      </w:r>
      <w:r>
        <w:rPr>
          <w:rFonts w:ascii="Times New Roman" w:eastAsia="Times New Roman" w:hAnsi="Times New Roman" w:cs="Times New Roman"/>
          <w:sz w:val="24"/>
        </w:rPr>
        <w:lastRenderedPageBreak/>
        <w:t>сохран</w:t>
      </w:r>
      <w:r>
        <w:rPr>
          <w:rFonts w:ascii="Times New Roman" w:eastAsia="Times New Roman" w:hAnsi="Times New Roman" w:cs="Times New Roman"/>
          <w:sz w:val="24"/>
        </w:rPr>
        <w:t xml:space="preserve">ения объема должностных обязанностей работника и выполнения им работ той же квалификации, ему устанавливается персональная доплата. Размер персональной доплаты определяется как разница между заработной платой (без учета премий), выплачиваемой работнику до </w:t>
      </w:r>
      <w:r>
        <w:rPr>
          <w:rFonts w:ascii="Times New Roman" w:eastAsia="Times New Roman" w:hAnsi="Times New Roman" w:cs="Times New Roman"/>
          <w:sz w:val="24"/>
        </w:rPr>
        <w:t>введения новой структуры фонда оплаты труда, и заработной платой (без учета премий и персональной доплаты), выплачиваемой работнику после введения новой структуры фонда оплаты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установлении персональной доплаты принимается главой Администр</w:t>
      </w:r>
      <w:r>
        <w:rPr>
          <w:rFonts w:ascii="Times New Roman" w:eastAsia="Times New Roman" w:hAnsi="Times New Roman" w:cs="Times New Roman"/>
          <w:sz w:val="24"/>
        </w:rPr>
        <w:t>ации персонально в отношении конкретного работника на определенный срок, но не более одного финансового года, по согласованию с выборным профсоюзным органом и оформляется распоряжением главы Администрации.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Персональная доплата устанавливается в абсолютном </w:t>
      </w:r>
      <w:r>
        <w:rPr>
          <w:rFonts w:ascii="Times New Roman" w:eastAsia="Times New Roman" w:hAnsi="Times New Roman" w:cs="Times New Roman"/>
          <w:sz w:val="24"/>
        </w:rPr>
        <w:t>размере в рублях.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Выплаты по надбавкам и доплатам носят стимулирующий характер. Размер надбавок определяется путем умножения оклада на процент надбавки, доплаты устанавливаются в абсолютном размере.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Стимулирующие выплаты к окладу работника не образуют</w:t>
      </w:r>
      <w:r>
        <w:rPr>
          <w:rFonts w:ascii="Times New Roman" w:eastAsia="Times New Roman" w:hAnsi="Times New Roman" w:cs="Times New Roman"/>
          <w:sz w:val="24"/>
        </w:rPr>
        <w:t xml:space="preserve"> новый оклад и не учитываются при начислении иных стимулирующих и компенсационных выплат. Выплаты стимулирующего характера производятся по решению главы Администрации в пределах сформированного фонда оплаты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Оплата труда работников «Специалистов</w:t>
      </w:r>
      <w:r>
        <w:rPr>
          <w:rFonts w:ascii="Times New Roman" w:eastAsia="Times New Roman" w:hAnsi="Times New Roman" w:cs="Times New Roman"/>
          <w:sz w:val="24"/>
        </w:rPr>
        <w:t xml:space="preserve"> ВУС»  производится на основании «Порядка оплаты труда для лиц, замещающих муниципальные должности и муниципальных служащих,  занимающих должности муниципальной службы» утвержденным решением Ленинского поселкового Совета депутатов №9-2 от 02.10.2008г. исхо</w:t>
      </w:r>
      <w:r>
        <w:rPr>
          <w:rFonts w:ascii="Times New Roman" w:eastAsia="Times New Roman" w:hAnsi="Times New Roman" w:cs="Times New Roman"/>
          <w:sz w:val="24"/>
        </w:rPr>
        <w:t>дя из замещения работников ВУС ставки «специалиста 2 категории»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Выплаты компенсационного характера работникам администрации МО «Поселок Ленинский», занимающих общеотраслевые должности служащих «Землеустроителей» и «Специалистов ВУС» осуществляются сог</w:t>
      </w:r>
      <w:r>
        <w:rPr>
          <w:rFonts w:ascii="Times New Roman" w:eastAsia="Times New Roman" w:hAnsi="Times New Roman" w:cs="Times New Roman"/>
          <w:sz w:val="24"/>
        </w:rPr>
        <w:t>ласно разделу 4 настоящего Положения.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Премиальные выплаты работникам администрации МО «Поселок Ленинский», занимающих общеотраслевые должности служащих «Землеустроителей» и «Специалистов ВУС» осуществляются согласно условиям, указанным в разделе 5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</w:t>
      </w:r>
      <w:r>
        <w:rPr>
          <w:rFonts w:ascii="Times New Roman" w:eastAsia="Times New Roman" w:hAnsi="Times New Roman" w:cs="Times New Roman"/>
          <w:sz w:val="24"/>
        </w:rPr>
        <w:t>тоящего Положения.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Порядок и условия оплаты труда работников администрации МО «Поселок Ленинский», осуществляющих профессиональную деятельность по общеотраслевым профессиям рабочих «Технический персонал»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Размеры окладов (должностных окладов) по проф</w:t>
      </w:r>
      <w:r>
        <w:rPr>
          <w:rFonts w:ascii="Times New Roman" w:eastAsia="Times New Roman" w:hAnsi="Times New Roman" w:cs="Times New Roman"/>
          <w:sz w:val="24"/>
        </w:rPr>
        <w:t xml:space="preserve">ессиональным квалификационным группам и повышающих коэффициентов по квалификационным уровням по общеотраслевым профессиям рабочих устанавливаются согласно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 и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Министерства труда и социального развития Республики Саха (Якутия) от 31.10.2017 N 1362-ОД "Об утверждении размеров окладов (должностных окладов) по профессиональным квалификационным группам общеотраслевых должно</w:t>
      </w:r>
      <w:r>
        <w:rPr>
          <w:rFonts w:ascii="Times New Roman" w:eastAsia="Times New Roman" w:hAnsi="Times New Roman" w:cs="Times New Roman"/>
          <w:sz w:val="24"/>
        </w:rPr>
        <w:t>стей служащих и профессий рабочих" в следующих размерах: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345"/>
        <w:gridCol w:w="2608"/>
      </w:tblGrid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Квалификационные уровни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оклада (должностного оклада)</w:t>
            </w:r>
          </w:p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рублях)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профессии рабочих первого уровня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4 173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4 394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Общеотраслевые профессии рабочих второго уровня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4 757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4 932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уровень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5 141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квалификационный уровень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5 316</w:t>
            </w:r>
          </w:p>
        </w:tc>
      </w:tr>
    </w:tbl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Положением предусмотрено установление рабочим надбавок к окладу: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надбавка за выслугу лет;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надбавка за классность водителям автомобилей;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надбавка за почетные звания, отраслевые (ведомственные) знаки отличия;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надбавка за интенсивность труда;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персональная доплата.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 Надбавка за выслугу лет: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общеотраслевым профессиям рабочих надбавка за выслугу лет применяется ко всем рабочим в зависимости от продолжительности непрерывного стажа работы в государственных и муниципальных учреждениях бюджетной сферы.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Размеры надбавки за выслугу лет: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127"/>
      </w:tblGrid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условия при выслуге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надбавки</w:t>
            </w:r>
          </w:p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процентах)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 лет до 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10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5 лет до 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 лет до 15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20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 лет до 20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25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4939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20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</w:t>
            </w:r>
          </w:p>
        </w:tc>
      </w:tr>
    </w:tbl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определения стажа работы, дающего право на установление надбавки за выслугу лет, конкретные условия осуществления данной выплаты утверждаются локальным нормативным актом учреждения.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Надбавка за классность водителям автомобилей устанавливаетс</w:t>
      </w:r>
      <w:r>
        <w:rPr>
          <w:rFonts w:ascii="Times New Roman" w:eastAsia="Times New Roman" w:hAnsi="Times New Roman" w:cs="Times New Roman"/>
          <w:sz w:val="24"/>
        </w:rPr>
        <w:t>я в размерах: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водителям 1 класса - до 25%;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водителям 2 класса - до 15%.</w:t>
      </w:r>
    </w:p>
    <w:p w:rsidR="007F4A3F" w:rsidRDefault="004939A2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Водителям 1 и 2 класса по квалификации, относящейся к четвертому квалификационному уровню профессиональной квалификационной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группы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общеотраслевых профессий рабочих второго уровня, утвержденной приказом Министерства здравоохранения и социального развития Российской Федерации от 20.05.2008 N 248, выплата за классность не устана</w:t>
      </w:r>
      <w:r>
        <w:rPr>
          <w:rFonts w:ascii="Times New Roman" w:eastAsia="Times New Roman" w:hAnsi="Times New Roman" w:cs="Times New Roman"/>
          <w:sz w:val="24"/>
        </w:rPr>
        <w:t>вливается.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3.2.3. Надбавка за почетное звание, отраслевые (ведомственные) знаки отличия.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Надбавка за почетное звание Российской Федерации, Республики Саха (Якутия), отраслевых (ведомственных) знаков отличия устанавливается в следующих размерах: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Отраслевой </w:t>
      </w:r>
      <w:r>
        <w:rPr>
          <w:rFonts w:ascii="Times New Roman" w:eastAsia="Times New Roman" w:hAnsi="Times New Roman" w:cs="Times New Roman"/>
          <w:sz w:val="24"/>
        </w:rPr>
        <w:t>(ведомственный знак) - до 5%;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Почетное звание - до 10%.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Надбавка за почетное звание, отраслевые (ведомственные) знаки отличия применяются по основной работе только по одному из оснований.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Работникам, осуществляющим профессиональную деятельность по о</w:t>
      </w:r>
      <w:r>
        <w:rPr>
          <w:rFonts w:ascii="Times New Roman" w:eastAsia="Times New Roman" w:hAnsi="Times New Roman" w:cs="Times New Roman"/>
          <w:sz w:val="24"/>
        </w:rPr>
        <w:t>бщеотраслевым профессиям рабочих, может быть установлена надбавка за интенсивность с целью мотивации работников к повышению результативности труда, ресурсосбережению, за выполнение срочных, особо важных и ответственных работ.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установлении надбав</w:t>
      </w:r>
      <w:r>
        <w:rPr>
          <w:rFonts w:ascii="Times New Roman" w:eastAsia="Times New Roman" w:hAnsi="Times New Roman" w:cs="Times New Roman"/>
          <w:sz w:val="24"/>
        </w:rPr>
        <w:t>ки за интенсивность и ее размере принимается главой Администрации персонально в отношении конкретного работника на основании оценки служебной деятельности работника, его участия в решении задач, поставленных перед Администрацией, а также с учетом уровня об</w:t>
      </w:r>
      <w:r>
        <w:rPr>
          <w:rFonts w:ascii="Times New Roman" w:eastAsia="Times New Roman" w:hAnsi="Times New Roman" w:cs="Times New Roman"/>
          <w:sz w:val="24"/>
        </w:rPr>
        <w:t>разования, специальных знаний, умения и навыков, необходимых для исполнения ими должностных обязанностей.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Распоряжение об установлении надбавки издается в начале календарного года с указанием конкретного размера надбавки и периода, на который она устанавливается. Ранее установленный размер надбавки может быть снижен или прекращена ее выплата до истечения срока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надбавки за интенсивность труда - до 100 процентов.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Персональная доплата.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уровень оплаты труда работника в соответствии с новой структурой фонда оплаты труда (без учета премий), оказывается ниже уровня оплаты труда (без учета премий), выплачиваемой до введения новой структуры фонда оплаты труда, при условии сохран</w:t>
      </w:r>
      <w:r>
        <w:rPr>
          <w:rFonts w:ascii="Times New Roman" w:eastAsia="Times New Roman" w:hAnsi="Times New Roman" w:cs="Times New Roman"/>
          <w:sz w:val="24"/>
        </w:rPr>
        <w:t xml:space="preserve">ения объема должностных обязанностей работника и выполнения им работ той же квалификации, ему устанавливается персональная доплата. Размер персональной доплаты определяется как разница между заработной платой (без учета премий), выплачиваемой работнику до </w:t>
      </w:r>
      <w:r>
        <w:rPr>
          <w:rFonts w:ascii="Times New Roman" w:eastAsia="Times New Roman" w:hAnsi="Times New Roman" w:cs="Times New Roman"/>
          <w:sz w:val="24"/>
        </w:rPr>
        <w:t>введения новой структуры фонда оплаты труда, и заработной платой (без учета премий и персональной доплаты), выплачиваемой работнику после введения новой структуры фонда оплаты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установлении персональной доплаты принимается главой Администр</w:t>
      </w:r>
      <w:r>
        <w:rPr>
          <w:rFonts w:ascii="Times New Roman" w:eastAsia="Times New Roman" w:hAnsi="Times New Roman" w:cs="Times New Roman"/>
          <w:sz w:val="24"/>
        </w:rPr>
        <w:t>ации персонально в отношении конкретного работника на определенный срок, но не более одного финансового года, по согласованию с выборным профсоюзным органом и оформляется распоряжением главы Администрации.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Персональная доплата устанавливается в абсолютном </w:t>
      </w:r>
      <w:r>
        <w:rPr>
          <w:rFonts w:ascii="Times New Roman" w:eastAsia="Times New Roman" w:hAnsi="Times New Roman" w:cs="Times New Roman"/>
          <w:sz w:val="24"/>
        </w:rPr>
        <w:t>размере в рублях.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Выплаты по надбавкам и доплатам носят стимулирующий характер. Размер надбавок определяется путем умножения оклада на процент надбавки, доплаты устанавливаются в абсолютном размере.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Стимулирующие выплаты к окладу работника не образуют</w:t>
      </w:r>
      <w:r>
        <w:rPr>
          <w:rFonts w:ascii="Times New Roman" w:eastAsia="Times New Roman" w:hAnsi="Times New Roman" w:cs="Times New Roman"/>
          <w:sz w:val="24"/>
        </w:rPr>
        <w:t xml:space="preserve"> новый оклад и не учитываются при начислении иных стимулирующих и компенсационных выплат (за исключением выплат компенсационного характера за работу в местностях с особыми климатическими условиями). Выплаты стимулирующего характера производятся по решению </w:t>
      </w:r>
      <w:r>
        <w:rPr>
          <w:rFonts w:ascii="Times New Roman" w:eastAsia="Times New Roman" w:hAnsi="Times New Roman" w:cs="Times New Roman"/>
          <w:sz w:val="24"/>
        </w:rPr>
        <w:t>главы Администрации в пределах сформированного фонда оплаты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Рабочим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администрации МО «Поселок Ленинский», осуществляющим трудовую деятельность по общеотраслевым профессиям рабочих, устанавливаются выплаты компенсационного характера, предусмотре</w:t>
      </w:r>
      <w:r>
        <w:rPr>
          <w:rFonts w:ascii="Times New Roman" w:eastAsia="Times New Roman" w:hAnsi="Times New Roman" w:cs="Times New Roman"/>
          <w:sz w:val="24"/>
        </w:rPr>
        <w:t>нные главой 4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Положения.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Рабочим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администрации МО «Поселок Ленинский», осуществляющим трудовую деятельность по общеотраслевым профессиям рабочих, осуществляются премиальные выплаты, предусмотренные главой 5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Положения.</w:t>
      </w: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 Порядок</w:t>
      </w:r>
      <w:r>
        <w:rPr>
          <w:rFonts w:ascii="Arial" w:eastAsia="Arial" w:hAnsi="Arial" w:cs="Arial"/>
          <w:b/>
          <w:sz w:val="24"/>
        </w:rPr>
        <w:t xml:space="preserve"> и установление выплат</w:t>
      </w: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компенсационного характера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Перечень видов, условия осуществления и размеры выплат компенсационного характера: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Оплата труда работников Администрации, занятых на работах в условиях, отклоняющихся от нормальных, производится </w:t>
      </w:r>
      <w:r>
        <w:rPr>
          <w:rFonts w:ascii="Times New Roman" w:eastAsia="Times New Roman" w:hAnsi="Times New Roman" w:cs="Times New Roman"/>
          <w:sz w:val="24"/>
        </w:rPr>
        <w:t>в повышенном размере. В этих целях устанавливаются следующие выплаты компенсационного характера: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совмещение профессий (должностей);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увеличение объема работы или исполнение обязанностей временно отсутствующего работника;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работу в выходные и н</w:t>
      </w:r>
      <w:r>
        <w:rPr>
          <w:rFonts w:ascii="Times New Roman" w:eastAsia="Times New Roman" w:hAnsi="Times New Roman" w:cs="Times New Roman"/>
          <w:sz w:val="24"/>
        </w:rPr>
        <w:t>ерабочие праздничные дни;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работу в сверхурочное время.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Совмещение профессий (должностей) производится с соблюдением требований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статьи 1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51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 кодекса Российской Федерации, согласно штатному расписанию Администрации.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 До</w:t>
      </w:r>
      <w:r>
        <w:rPr>
          <w:rFonts w:ascii="Times New Roman" w:eastAsia="Times New Roman" w:hAnsi="Times New Roman" w:cs="Times New Roman"/>
          <w:sz w:val="24"/>
        </w:rPr>
        <w:t>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</w:t>
      </w:r>
      <w:r>
        <w:rPr>
          <w:rFonts w:ascii="Times New Roman" w:eastAsia="Times New Roman" w:hAnsi="Times New Roman" w:cs="Times New Roman"/>
          <w:sz w:val="24"/>
        </w:rPr>
        <w:t>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рекомендуется определять по соглашению сторон трудового договора с учетом содержания и (ил</w:t>
      </w:r>
      <w:r>
        <w:rPr>
          <w:rFonts w:ascii="Times New Roman" w:eastAsia="Times New Roman" w:hAnsi="Times New Roman" w:cs="Times New Roman"/>
          <w:sz w:val="24"/>
        </w:rPr>
        <w:t>и) объема дополнительной работы.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Доплата за работу в выходные и нерабочие праздничные дни производится работникам, привлекавшимся к работе в выходные и нерабочие праздничные дни, устанавливается в соответствии со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153</w:t>
        </w:r>
      </w:hyperlink>
      <w:r>
        <w:rPr>
          <w:rFonts w:ascii="Times New Roman" w:eastAsia="Times New Roman" w:hAnsi="Times New Roman" w:cs="Times New Roman"/>
          <w:sz w:val="24"/>
        </w:rPr>
        <w:t xml:space="preserve"> Трудового кодекса Российской Федерации.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 Доплата за сверхурочную работу производится в соответствии со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статьями 99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152</w:t>
        </w:r>
      </w:hyperlink>
      <w:r>
        <w:rPr>
          <w:rFonts w:ascii="Times New Roman" w:eastAsia="Times New Roman" w:hAnsi="Times New Roman" w:cs="Times New Roman"/>
          <w:sz w:val="24"/>
        </w:rPr>
        <w:t xml:space="preserve"> Трудового кодекса Р</w:t>
      </w:r>
      <w:r>
        <w:rPr>
          <w:rFonts w:ascii="Times New Roman" w:eastAsia="Times New Roman" w:hAnsi="Times New Roman" w:cs="Times New Roman"/>
          <w:sz w:val="24"/>
        </w:rPr>
        <w:t>оссийской Федерации.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суммированном учете рабочего времени сверхурочными признаются работы, которые производились сверх нормы рабочих часов за учетный период, установленный Правилами внутреннего трудового распорядка Администрации.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желанию работника с</w:t>
      </w:r>
      <w:r>
        <w:rPr>
          <w:rFonts w:ascii="Times New Roman" w:eastAsia="Times New Roman" w:hAnsi="Times New Roman" w:cs="Times New Roman"/>
          <w:sz w:val="24"/>
        </w:rPr>
        <w:t>верхурочная работа вместо повышенной оплаты может компенсироваться предоставлением дополнительного отдыха, но не менее времени, отработанного сверхурочно.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подсчете сверхурочных часов работа в праздничные дни, произведенная сверх нормы рабочего времени,</w:t>
      </w:r>
      <w:r>
        <w:rPr>
          <w:rFonts w:ascii="Times New Roman" w:eastAsia="Times New Roman" w:hAnsi="Times New Roman" w:cs="Times New Roman"/>
          <w:sz w:val="24"/>
        </w:rPr>
        <w:t xml:space="preserve"> не должна учитываться, поскольку она уже оплачена в двойном размере (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Разъяснения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Госкомтруда СССР и Президиума ВЦСПС от 08.08.1966 N 13/П-21 "О компенсации за р</w:t>
      </w:r>
      <w:r>
        <w:rPr>
          <w:rFonts w:ascii="Times New Roman" w:eastAsia="Times New Roman" w:hAnsi="Times New Roman" w:cs="Times New Roman"/>
          <w:sz w:val="24"/>
        </w:rPr>
        <w:t>аботу в праздничные дни").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работу в режиме ненормированного рабочего дня компенсация работникам Администрации может быть предоставлена в виде дополнительного отпуска. Перечень должностей работников с ненормируемым рабочим днем устанавливается Правилами </w:t>
      </w:r>
      <w:r>
        <w:rPr>
          <w:rFonts w:ascii="Times New Roman" w:eastAsia="Times New Roman" w:hAnsi="Times New Roman" w:cs="Times New Roman"/>
          <w:sz w:val="24"/>
        </w:rPr>
        <w:t>внутреннего трудового распорядка Администрации.</w:t>
      </w:r>
    </w:p>
    <w:p w:rsidR="007F4A3F" w:rsidRDefault="007F4A3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 Порядок и условия премирования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В целях поощрения работников за выполненную работу Администрации могут быть установлены следующие виды премиальных выплат по итогам работы: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премия по итогам работы з</w:t>
      </w:r>
      <w:r>
        <w:rPr>
          <w:rFonts w:ascii="Times New Roman" w:eastAsia="Times New Roman" w:hAnsi="Times New Roman" w:cs="Times New Roman"/>
          <w:sz w:val="24"/>
        </w:rPr>
        <w:t>а качество и результативность (за месяц, квартал, полугодие, 9 месяцев, год);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премия за выполнение особо важных и срочных работ.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премии может устанавливаться как в абсолютном значении, так и в процентном отношении. Рекомендуется размер ежемесячной</w:t>
      </w:r>
      <w:r>
        <w:rPr>
          <w:rFonts w:ascii="Times New Roman" w:eastAsia="Times New Roman" w:hAnsi="Times New Roman" w:cs="Times New Roman"/>
          <w:sz w:val="24"/>
        </w:rPr>
        <w:t xml:space="preserve"> премии устанавливать в размере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ниже  10</w:t>
      </w:r>
      <w:proofErr w:type="gramEnd"/>
      <w:r>
        <w:rPr>
          <w:rFonts w:ascii="Times New Roman" w:eastAsia="Times New Roman" w:hAnsi="Times New Roman" w:cs="Times New Roman"/>
          <w:sz w:val="24"/>
        </w:rPr>
        <w:t>%.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При премировании работников рекомендуется учитывать: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инициатива, творчество и применение в рабо</w:t>
      </w:r>
      <w:r>
        <w:rPr>
          <w:rFonts w:ascii="Times New Roman" w:eastAsia="Times New Roman" w:hAnsi="Times New Roman" w:cs="Times New Roman"/>
          <w:sz w:val="24"/>
        </w:rPr>
        <w:t>те современных форм и методов организации труда;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качественная подготовка и проведение мероприятий, связанных с уставной деятельностью учреждения;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качественная подготовка и своевременная сдача отчетности;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участие в течение соответствующего рабочего периода в выполнении важных работ, мероприятий.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Премия также может выплачиваться за счет средств от экономии фонда оплаты труда в соответствии с распоряжением главы Администрации.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Премирование работнико</w:t>
      </w:r>
      <w:r>
        <w:rPr>
          <w:rFonts w:ascii="Times New Roman" w:eastAsia="Times New Roman" w:hAnsi="Times New Roman" w:cs="Times New Roman"/>
          <w:sz w:val="24"/>
        </w:rPr>
        <w:t xml:space="preserve">в осуществляется решением главы Администрации в соответствии с Положением о премировании работников Администрации </w:t>
      </w:r>
      <w:r>
        <w:rPr>
          <w:rFonts w:ascii="Times New Roman" w:eastAsia="Times New Roman" w:hAnsi="Times New Roman" w:cs="Times New Roman"/>
          <w:sz w:val="24"/>
        </w:rPr>
        <w:lastRenderedPageBreak/>
        <w:t>муниципального образования, согласованным с первичной профсоюзной организацией работников.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Работникам Администрации, проработавшим неполн</w:t>
      </w:r>
      <w:r>
        <w:rPr>
          <w:rFonts w:ascii="Times New Roman" w:eastAsia="Times New Roman" w:hAnsi="Times New Roman" w:cs="Times New Roman"/>
          <w:sz w:val="24"/>
        </w:rPr>
        <w:t>ый период, принятый в качестве расчетного для установления премий, в связи с призывом на службу в Вооруженные Силы, поступлением в учебное заведение, прохождением курсов по переподготовке и повышению квалификации, уходом на пенсию, в связи с болезнью, пред</w:t>
      </w:r>
      <w:r>
        <w:rPr>
          <w:rFonts w:ascii="Times New Roman" w:eastAsia="Times New Roman" w:hAnsi="Times New Roman" w:cs="Times New Roman"/>
          <w:sz w:val="24"/>
        </w:rPr>
        <w:t>оставлением отпуска по беременности и родам, увольнением по сокращению численности или штата, в порядке перевода в другую организацию и другими уважительными причинами размеры премий устанавливаются с учетом фактически отработанного времени в расчетном пер</w:t>
      </w:r>
      <w:r>
        <w:rPr>
          <w:rFonts w:ascii="Times New Roman" w:eastAsia="Times New Roman" w:hAnsi="Times New Roman" w:cs="Times New Roman"/>
          <w:sz w:val="24"/>
        </w:rPr>
        <w:t>иоде.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VI. Другие вопросы оплаты труда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В соответствии с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Республики Саха (Якутия) от 18 мая 2005 года 234-З N 475-III "О размерах районного коэффициента и процентной надбавки к заработной плате в Республике Саха (Якутия)" работникам Администрации устанавливаются выплаты за работу в местностях с особыми климатиче</w:t>
      </w:r>
      <w:r>
        <w:rPr>
          <w:rFonts w:ascii="Times New Roman" w:eastAsia="Times New Roman" w:hAnsi="Times New Roman" w:cs="Times New Roman"/>
          <w:sz w:val="24"/>
        </w:rPr>
        <w:t>скими условиями: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районный коэффициент;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процентная надбавка за стаж в районах Крайнего Севера.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Размеры указанных коэффициентов и процентных надбавок устанавливаются в соответствии с действующим законодательством Российской Федерации и Республики Саха (Я</w:t>
      </w:r>
      <w:r>
        <w:rPr>
          <w:rFonts w:ascii="Times New Roman" w:eastAsia="Times New Roman" w:hAnsi="Times New Roman" w:cs="Times New Roman"/>
          <w:sz w:val="24"/>
        </w:rPr>
        <w:t>кутия).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За счет средств фонда оплаты труда работникам может быть оказана материальная помощь в соответствии с коллективным договором Администрации. Материальная помощь работникам производится на основании личного заявления и в соответствии с решением </w:t>
      </w:r>
      <w:r>
        <w:rPr>
          <w:rFonts w:ascii="Times New Roman" w:eastAsia="Times New Roman" w:hAnsi="Times New Roman" w:cs="Times New Roman"/>
          <w:sz w:val="24"/>
        </w:rPr>
        <w:t>главы Администрации.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Материальная помощь работникам может оказываться от экономии средств, предусмотренных на оплату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Все виды выплат производятся в пределах фонда оплаты труда.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В случае задержки выплаты работникам заработной платы и других</w:t>
      </w:r>
      <w:r>
        <w:rPr>
          <w:rFonts w:ascii="Times New Roman" w:eastAsia="Times New Roman" w:hAnsi="Times New Roman" w:cs="Times New Roman"/>
          <w:sz w:val="24"/>
        </w:rPr>
        <w:t xml:space="preserve"> нарушений оплаты труда глава Администрации несет ответственность в соответствии с законодательством Российской Федерации.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Администрация должна обеспечить начисление месячной заработной платы работникам, полностью отработавшим норму рабочего времени и</w:t>
      </w:r>
      <w:r>
        <w:rPr>
          <w:rFonts w:ascii="Times New Roman" w:eastAsia="Times New Roman" w:hAnsi="Times New Roman" w:cs="Times New Roman"/>
          <w:sz w:val="24"/>
        </w:rPr>
        <w:t xml:space="preserve"> выполнившим норму труда (трудовые обязанности) в размере не ниже установленного федеральным законом минимального размера оплаты труда с применением сверх минимального размера оплаты труда районного коэффициента и процентных надбавок, но не ниже величины п</w:t>
      </w:r>
      <w:r>
        <w:rPr>
          <w:rFonts w:ascii="Times New Roman" w:eastAsia="Times New Roman" w:hAnsi="Times New Roman" w:cs="Times New Roman"/>
          <w:sz w:val="24"/>
        </w:rPr>
        <w:t xml:space="preserve">рожиточного минимума для трудоспособного населения в целом по Республике Саха (Якутия) за 3 квартала предыдущего года, в соответствии с Дополнительным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соглаше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к Республиканскому региональному соглашению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</w:t>
      </w:r>
      <w:r>
        <w:rPr>
          <w:rFonts w:ascii="Times New Roman" w:eastAsia="Times New Roman" w:hAnsi="Times New Roman" w:cs="Times New Roman"/>
          <w:sz w:val="24"/>
        </w:rPr>
        <w:t>ботодателей "Союз товаропроизводителей Республики Саха (Якутия)" на 2017 - 2019 годы" от 27 декабря 2017 года.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об оплате труда работников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МО «Поселок Ленинский»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«Землеустроители», 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Специалисты военно-учетного стола»,</w:t>
      </w:r>
    </w:p>
    <w:p w:rsidR="007F4A3F" w:rsidRDefault="0049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«Технический персонал».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ТРЕБОВАНИЯ</w:t>
      </w: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 СПЕЦИАЛИСТАМ, ЗАМЕЩАЮЩИМ ДОЛЖНОСТИ</w:t>
      </w:r>
    </w:p>
    <w:p w:rsidR="007F4A3F" w:rsidRDefault="004939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 СООТВЕТСТВИИ С ПЕРЕЧНЕМ СПЕЦИАЛЬНОСТЕЙ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551"/>
        <w:gridCol w:w="4535"/>
      </w:tblGrid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Специальности/направление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Землеустройство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Земельно-имущественные отношения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Прикладная геодезия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Землеустройство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Земельно-имущественные отношения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Прикладная геодезия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 Бакалавриат/ магистратура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Землеустройство и кадастры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кадастр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Прикладная геодезия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Геодезия и дистанционное зондирование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 и управление недвижимостью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Картография и геоинформатика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Финансы и кредит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Землеустройство и кадастры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кадастр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Прикладная геодезия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Геодезия и дистанционное зондирование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 и управление недвижимостью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Картография и геоинформатика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Финансы и кредит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</w:tr>
      <w:tr w:rsidR="007F4A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4A3F" w:rsidRDefault="007F4A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F4A3F" w:rsidRDefault="00493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</w:p>
        </w:tc>
      </w:tr>
    </w:tbl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493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Перечни специальностей указаны в соответствии: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утвержденным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Минобрнауки России от 29.10.2013 N 1199 "Об утверждении перечней профессий и специальносте</w:t>
      </w:r>
      <w:r>
        <w:rPr>
          <w:rFonts w:ascii="Times New Roman" w:eastAsia="Times New Roman" w:hAnsi="Times New Roman" w:cs="Times New Roman"/>
          <w:sz w:val="24"/>
        </w:rPr>
        <w:t>й среднего профессионального образования";</w:t>
      </w:r>
    </w:p>
    <w:p w:rsidR="007F4A3F" w:rsidRDefault="004939A2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утвержденным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Минобрнауки России от 12.09.2013 N 1061 "Об утверждении перечней специальностей и направлений </w:t>
      </w:r>
      <w:r>
        <w:rPr>
          <w:rFonts w:ascii="Times New Roman" w:eastAsia="Times New Roman" w:hAnsi="Times New Roman" w:cs="Times New Roman"/>
          <w:sz w:val="24"/>
        </w:rPr>
        <w:t>подготовки высшего образования".</w:t>
      </w:r>
    </w:p>
    <w:p w:rsidR="007F4A3F" w:rsidRDefault="007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4A3F" w:rsidRDefault="007F4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7F4A3F" w:rsidRDefault="007F4A3F">
      <w:pPr>
        <w:spacing w:after="200" w:line="276" w:lineRule="auto"/>
        <w:rPr>
          <w:rFonts w:ascii="Calibri" w:eastAsia="Calibri" w:hAnsi="Calibri" w:cs="Calibri"/>
        </w:rPr>
      </w:pPr>
    </w:p>
    <w:sectPr w:rsidR="007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5A"/>
    <w:multiLevelType w:val="multilevel"/>
    <w:tmpl w:val="F6DA9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3F"/>
    <w:rsid w:val="004939A2"/>
    <w:rsid w:val="007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07C"/>
  <w15:docId w15:val="{349E1920-B6DF-43C0-84BF-E313753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ZB&amp;n=76147&amp;date=18.04.2019" TargetMode="External"/><Relationship Id="rId18" Type="http://schemas.openxmlformats.org/officeDocument/2006/relationships/hyperlink" Target="https://login.consultant.ru/link/?req=doc&amp;base=RZB&amp;n=321526&amp;date=18.04.2019&amp;dst=661&amp;fld=134" TargetMode="External"/><Relationship Id="rId26" Type="http://schemas.openxmlformats.org/officeDocument/2006/relationships/hyperlink" Target="https://login.consultant.ru/link/?req=doc&amp;base=RZB&amp;n=321526&amp;date=18.04.2019&amp;dst=71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294402&amp;date=18.04.2019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71507&amp;date=18.04.2019" TargetMode="External"/><Relationship Id="rId17" Type="http://schemas.openxmlformats.org/officeDocument/2006/relationships/hyperlink" Target="https://login.consultant.ru/link/?req=doc&amp;base=RLAW249&amp;n=74243&amp;date=18.04.2019" TargetMode="External"/><Relationship Id="rId25" Type="http://schemas.openxmlformats.org/officeDocument/2006/relationships/hyperlink" Target="https://login.consultant.ru/link/?req=doc&amp;base=RZB&amp;n=321526&amp;date=18.04.2019&amp;dst=709&amp;fld=134" TargetMode="External"/><Relationship Id="rId33" Type="http://schemas.openxmlformats.org/officeDocument/2006/relationships/hyperlink" Target="https://login.consultant.ru/link/?req=doc&amp;base=RZB&amp;n=295780&amp;date=18.04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49&amp;n=67809&amp;date=18.04.2019" TargetMode="External"/><Relationship Id="rId20" Type="http://schemas.openxmlformats.org/officeDocument/2006/relationships/hyperlink" Target="https://login.consultant.ru/link/?req=doc&amp;base=RLAW249&amp;n=67809&amp;date=18.04.2019" TargetMode="External"/><Relationship Id="rId29" Type="http://schemas.openxmlformats.org/officeDocument/2006/relationships/hyperlink" Target="https://login.consultant.ru/link/?req=doc&amp;base=RZB&amp;n=216777&amp;date=18.04.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leninskij.ucoz.net/" TargetMode="External"/><Relationship Id="rId11" Type="http://schemas.openxmlformats.org/officeDocument/2006/relationships/hyperlink" Target="https://login.consultant.ru/link/?req=doc&amp;base=RZB&amp;n=315592&amp;date=18.04.2019&amp;dst=100006&amp;fld=134" TargetMode="External"/><Relationship Id="rId24" Type="http://schemas.openxmlformats.org/officeDocument/2006/relationships/hyperlink" Target="https://login.consultant.ru/link/?req=doc&amp;base=RZB&amp;n=79570&amp;date=18.04.2019&amp;dst=100009&amp;fld=134" TargetMode="External"/><Relationship Id="rId32" Type="http://schemas.openxmlformats.org/officeDocument/2006/relationships/hyperlink" Target="https://login.consultant.ru/link/?req=doc&amp;base=RZB&amp;n=208787&amp;date=18.04.2019" TargetMode="External"/><Relationship Id="rId5" Type="http://schemas.openxmlformats.org/officeDocument/2006/relationships/hyperlink" Target="mailto:adm-leninskij@yandex.ru" TargetMode="External"/><Relationship Id="rId15" Type="http://schemas.openxmlformats.org/officeDocument/2006/relationships/hyperlink" Target="https://login.consultant.ru/link/?req=doc&amp;base=RZB&amp;n=79570&amp;date=18.04.2019" TargetMode="External"/><Relationship Id="rId23" Type="http://schemas.openxmlformats.org/officeDocument/2006/relationships/hyperlink" Target="https://login.consultant.ru/link/?req=doc&amp;base=RLAW249&amp;n=67809&amp;date=18.04.2019" TargetMode="External"/><Relationship Id="rId28" Type="http://schemas.openxmlformats.org/officeDocument/2006/relationships/hyperlink" Target="https://login.consultant.ru/link/?req=doc&amp;base=RZB&amp;n=321526&amp;date=18.04.2019&amp;dst=712&amp;fld=134" TargetMode="External"/><Relationship Id="rId10" Type="http://schemas.openxmlformats.org/officeDocument/2006/relationships/hyperlink" Target="https://login.consultant.ru/link/?req=doc&amp;base=RLAW249&amp;n=73361&amp;date=18.04.2019&amp;dst=100042&amp;fld=134" TargetMode="External"/><Relationship Id="rId19" Type="http://schemas.openxmlformats.org/officeDocument/2006/relationships/hyperlink" Target="https://login.consultant.ru/link/?req=doc&amp;base=RZB&amp;n=84164&amp;date=18.04.2019" TargetMode="External"/><Relationship Id="rId31" Type="http://schemas.openxmlformats.org/officeDocument/2006/relationships/hyperlink" Target="https://login.consultant.ru/link/?req=doc&amp;base=RLAW249&amp;n=67692&amp;date=18.04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3580&amp;date=18.04.2019" TargetMode="External"/><Relationship Id="rId14" Type="http://schemas.openxmlformats.org/officeDocument/2006/relationships/hyperlink" Target="https://login.consultant.ru/link/?req=doc&amp;base=RZB&amp;n=84164&amp;date=18.04.2019" TargetMode="External"/><Relationship Id="rId22" Type="http://schemas.openxmlformats.org/officeDocument/2006/relationships/hyperlink" Target="https://login.consultant.ru/link/?req=doc&amp;base=RZB&amp;n=79570&amp;date=18.04.2019" TargetMode="External"/><Relationship Id="rId27" Type="http://schemas.openxmlformats.org/officeDocument/2006/relationships/hyperlink" Target="https://login.consultant.ru/link/?req=doc&amp;base=RZB&amp;n=321526&amp;date=18.04.2019&amp;dst=567&amp;fld=134" TargetMode="External"/><Relationship Id="rId30" Type="http://schemas.openxmlformats.org/officeDocument/2006/relationships/hyperlink" Target="https://login.consultant.ru/link/?req=doc&amp;base=RLAW249&amp;n=13994&amp;date=18.04.20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4888</Words>
  <Characters>27863</Characters>
  <Application>Microsoft Office Word</Application>
  <DocSecurity>0</DocSecurity>
  <Lines>232</Lines>
  <Paragraphs>65</Paragraphs>
  <ScaleCrop>false</ScaleCrop>
  <Company/>
  <LinksUpToDate>false</LinksUpToDate>
  <CharactersWithSpaces>32686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123</cp:lastModifiedBy>
  <cp:revision>2</cp:revision>
  <dcterms:created xsi:type="dcterms:W3CDTF">2020-02-19T01:33:00Z</dcterms:created>
  <dcterms:modified xsi:type="dcterms:W3CDTF">2020-02-19T01:33:00Z</dcterms:modified>
</cp:coreProperties>
</file>